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bookmarkStart w:id="0" w:name="_Hlk148045455"/>
      <w:r>
        <w:rPr>
          <w:rFonts w:ascii="Times New Roman" w:hAnsi="Times New Roman" w:cs="Times New Roman"/>
          <w:sz w:val="24"/>
          <w:szCs w:val="24"/>
        </w:rPr>
        <w:t>Supporting Information</w:t>
      </w:r>
    </w:p>
    <w:p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b/>
          <w:sz w:val="32"/>
          <w:szCs w:val="32"/>
        </w:rPr>
        <w:t>Interface engineering yields efficient perovskite light-emitting diodes</w:t>
      </w:r>
    </w:p>
    <w:p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276" w:lineRule="auto"/>
        <w:ind w:right="69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Rashid Khan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Guangyi Shi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Wenjing Chen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Zhengguo Xiao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1,†</w:t>
      </w:r>
      <w:r>
        <w:rPr>
          <w:rFonts w:ascii="Times New Roman" w:hAnsi="Times New Roman" w:cs="Times New Roman"/>
          <w:sz w:val="24"/>
          <w:szCs w:val="24"/>
        </w:rPr>
        <w:t>, and Liming Ding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2,†</w:t>
      </w:r>
    </w:p>
    <w:p>
      <w:pPr>
        <w:spacing w:line="276" w:lineRule="auto"/>
        <w:ind w:right="69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bookmarkEnd w:id="0"/>
    <w:p>
      <w:pPr>
        <w:spacing w:line="276" w:lineRule="auto"/>
        <w:ind w:right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Key Laboratory of Strongly-Coupled Quantum Matter Physics </w:t>
      </w:r>
      <w:r>
        <w:rPr>
          <w:rFonts w:ascii="Times New Roman" w:hAnsi="Times New Roman" w:eastAsia="MyriadPro-Regular" w:cs="Times New Roman"/>
          <w:sz w:val="24"/>
          <w:szCs w:val="24"/>
        </w:rPr>
        <w:t>(CAS)</w:t>
      </w:r>
      <w:r>
        <w:rPr>
          <w:rFonts w:ascii="Times New Roman" w:hAnsi="Times New Roman" w:cs="Times New Roman"/>
          <w:sz w:val="24"/>
          <w:szCs w:val="24"/>
        </w:rPr>
        <w:t>, Department of Physics, University of Science and Technology of China, Hefei 230026, China</w:t>
      </w:r>
    </w:p>
    <w:p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MyriadPro-Regular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eastAsia="MyriadPro-Regular" w:cs="Times New Roman"/>
          <w:sz w:val="24"/>
          <w:szCs w:val="24"/>
        </w:rPr>
        <w:t>Center for Excellence in Nanoscience (CAS), Key Laboratory of Nanosystem and Hierarchical Fabrication (CAS), National Center for Nanoscience and Technology, Beijing 100190, China</w:t>
      </w:r>
    </w:p>
    <w:p>
      <w:pPr>
        <w:spacing w:line="276" w:lineRule="auto"/>
        <w:ind w:right="691"/>
        <w:jc w:val="both"/>
        <w:rPr>
          <w:rFonts w:ascii="Times New Roman" w:hAnsi="Times New Roman" w:cs="Times New Roman"/>
          <w:iCs/>
          <w:sz w:val="24"/>
          <w:szCs w:val="24"/>
        </w:rPr>
      </w:pPr>
    </w:p>
    <w:p>
      <w:pPr>
        <w:spacing w:line="276" w:lineRule="auto"/>
        <w:ind w:right="69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Correspondence to: Z G Xiao, </w:t>
      </w:r>
      <w:r>
        <w:fldChar w:fldCharType="begin"/>
      </w:r>
      <w:r>
        <w:instrText xml:space="preserve"> HYPERLINK "mailto:zhengguo@ustc.edu.cn" </w:instrText>
      </w:r>
      <w:r>
        <w:fldChar w:fldCharType="separate"/>
      </w:r>
      <w:r>
        <w:rPr>
          <w:rStyle w:val="7"/>
          <w:rFonts w:ascii="Times New Roman" w:hAnsi="Times New Roman" w:cs="Times New Roman"/>
          <w:iCs/>
          <w:sz w:val="24"/>
          <w:szCs w:val="24"/>
        </w:rPr>
        <w:t>zhengguo@ustc.edu.cn</w:t>
      </w:r>
      <w:r>
        <w:rPr>
          <w:rStyle w:val="7"/>
          <w:rFonts w:ascii="Times New Roman" w:hAnsi="Times New Roman" w:cs="Times New Roman"/>
          <w:iCs/>
          <w:sz w:val="24"/>
          <w:szCs w:val="24"/>
        </w:rPr>
        <w:fldChar w:fldCharType="end"/>
      </w:r>
      <w:r>
        <w:rPr>
          <w:rStyle w:val="7"/>
          <w:rFonts w:ascii="Times New Roman" w:hAnsi="Times New Roman" w:cs="Times New Roman"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iCs/>
          <w:sz w:val="24"/>
          <w:szCs w:val="24"/>
        </w:rPr>
        <w:t xml:space="preserve">L M Ding, </w:t>
      </w:r>
      <w:r>
        <w:fldChar w:fldCharType="begin"/>
      </w:r>
      <w:r>
        <w:instrText xml:space="preserve"> HYPERLINK "mailto:ding@nanoctr.cn" </w:instrText>
      </w:r>
      <w:r>
        <w:fldChar w:fldCharType="separate"/>
      </w:r>
      <w:r>
        <w:rPr>
          <w:rStyle w:val="7"/>
          <w:rFonts w:ascii="Times New Roman" w:hAnsi="Times New Roman" w:cs="Times New Roman"/>
          <w:iCs/>
          <w:sz w:val="24"/>
          <w:szCs w:val="24"/>
        </w:rPr>
        <w:t>ding@nanoctr.cn</w:t>
      </w:r>
      <w:r>
        <w:rPr>
          <w:rStyle w:val="7"/>
          <w:rFonts w:ascii="Times New Roman" w:hAnsi="Times New Roman" w:cs="Times New Roman"/>
          <w:iCs/>
          <w:sz w:val="24"/>
          <w:szCs w:val="24"/>
        </w:rPr>
        <w:fldChar w:fldCharType="end"/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before="160" w:line="276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before="16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Materials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0°C, under continuous stirring for a duration of 2 hours, 4-fluorophenylmethylamine and methylamine were combined with equimolar quantities of aqueous HI (stabilized, sourced from Sigma-Aldrich) to synthesize 4-fluorophenylmethylammonium iodide (FPMAI) and methylammonium iodide (MAI). The FPMAI and MAI have recrystallized twice in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glovebox. Their ethanol solutions were slowly cool down at a rate of 5 °C/h for recrystallization purposes. After production of the large white crystals, they were washed with diethyl ether and subsequently dried at 60°C in a nitrogen glovebox. The lead iodide (PbI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was purchased from Alfa Aesar. The PAI (99%), BAI (99%), and DAI (99%) all purchased from Xi'an Polymer Light Technology Corp.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Perovskite precursor solution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0.6 M MAPbI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precursor solution was prepared using N,N-dimethylformamide (DMF) from Sigma-Aldrich through the equimolar blending of MAI and 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to which FPMAI was then added at 20% molar excess relative to the MAPbI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solution. The concentrations of PAI, BAI, and DAI were fixed at 10 mg/ml in isopropanol (IPA) purchased from (ACS, ≥99.5%). As a prerequisite for use, the precursor solutions underwent stirring for 3 hours at room temperature to validate appropriate blending.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Device fabrication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initial step for the indium tin oxide (ITO) patterned glasses was washing with detergent, deionized water, acetone, and ethanol. The second step was drying at 70 °C. Afterward, ITO glass slides were exposed to UV light for 10 minutes before film deposition. Following that, the ITO substrates were coated with a thin layer of poly(N,N'-bis-4-butylphenyl-N,N'-bisphenyl)benzidine (poly-TPD). Here the final concentration was fixed at 6 mg mL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using a spin-coating technique. The spin coating speed to deposit the poly-TPD layer was fixed at 1000 rpm for 60 s and then annealed at all substrates at 150 °C for 20 minutes. Poly-TPD layers were treated with 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plasma for 6 s to improve wetting. For the MAPbI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perovskite layer deposition, the spin-coating rate was set at 5000 rpm for a total duration of 45 s. Upon the spin process stabilizing at 5000 rpm, a 70 μL toluene solution was dropped onto the spinning substrate after 4 seconds elapsed. All spin-coated MAPbI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layers were later subjected to a 10-minutes post-annealing treatment at 70°C. Subsequently, these MAPbI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perovskite emissive layers were post-treated with PAI, BAI, and DAI (10 mg/ml) dissolved in IPA separately and annealed again at the same temperature and time. The devices were finalized by depositing 2,2ʹ,2″-(1,3,5-benzinetriyl)-tris(1-phenyl-1-H-benzimidazole (TPBi), LiF: lithium fluoride (LiF), and aluminum (Al) layers of 40 nm, 1.2 nm, and 100 nm thicknesses through thermal evaporation.</w:t>
      </w:r>
    </w:p>
    <w:p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Characterizations of perovskite films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(Rigaku TTR-III) diffractometer was used in Bragg-Brentano parallel beam configuration with the standard Cu X-ray source to obtain X-ray diffraction (XRD) data for structural characterization. The scanning electron microscopy (SEM) analysis of without (control) and post-treated perovskite films was performed by field-emission SEM (GeminiSEM 500). Utilizing a 430 nm excitation wavelength, the photoluminescence (PL) and PLQY spectra were obtained by means of the Horiba Fluorolog-3 spectrometer joined with a Petite Integrating Sphere. The Horiba time-correlated single photon counting setup was used to perform time-resolved photoluminescence (TRPL) characterizations. A pulsed 369 nm laser diode excitation source from (NanoLED-Horiba), with an excitation intensity of approximately ~6 mWcm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, was utilized to photoexcite the samples. Triple exponential fitting was utilized to fit the decays curves: decay(t) = 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m:rPr/>
              <w:rPr>
                <w:rFonts w:ascii="Cambria Math" w:hAnsi="Cambria Math" w:cs="Times New Roman"/>
                <w:sz w:val="24"/>
                <w:szCs w:val="24"/>
              </w:rPr>
              <m:t>n=1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b>
          <m:sup>
            <m:r>
              <m:rPr/>
              <w:rPr>
                <w:rFonts w:ascii="Cambria Math" w:hAnsi="Cambria Math" w:cs="Times New Roman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>
              <m:sup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nary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T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average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ub>
        </m:sSub>
        <m:r>
          <m:rPr/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eastAsia="Malgun Gothic" w:cs="Times New Roman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Cambria Math" w:eastAsia="Malgun Gothic" w:cs="Times New Roman"/>
                    <w:sz w:val="24"/>
                    <w:szCs w:val="24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 w:eastAsia="Malgun Gothic" w:cs="Times New Roman"/>
                    <w:sz w:val="24"/>
                    <w:szCs w:val="24"/>
                  </w:rPr>
                  <m:t>n=1</m:t>
                </m:r>
                <m:ctrlPr>
                  <w:rPr>
                    <w:rFonts w:ascii="Cambria Math" w:hAnsi="Cambria Math" w:eastAsia="Malgun Gothic" w:cs="Times New Roman"/>
                    <w:sz w:val="24"/>
                    <w:szCs w:val="24"/>
                  </w:rPr>
                </m:ctrlPr>
              </m:sub>
              <m:sup>
                <m:r>
                  <m:rPr>
                    <m:sty m:val="p"/>
                  </m:rPr>
                  <w:rPr>
                    <w:rFonts w:ascii="Cambria Math" w:hAnsi="Cambria Math" w:eastAsia="Malgun Gothic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eastAsia="Malgun Gothic" w:cs="Times New Roman"/>
                    <w:sz w:val="24"/>
                    <w:szCs w:val="24"/>
                  </w:rPr>
                </m:ctrlPr>
              </m:sup>
              <m:e>
                <m:sSub>
                  <m:sSubP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ub>
                </m:sSub>
                <m:sSubSup>
                  <m:sSubSupP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T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up>
                </m:sSubSup>
                <m:ctrlPr>
                  <w:rPr>
                    <w:rFonts w:ascii="Cambria Math" w:hAnsi="Cambria Math" w:eastAsia="Malgun Gothic" w:cs="Times New Roman"/>
                    <w:sz w:val="24"/>
                    <w:szCs w:val="24"/>
                  </w:rPr>
                </m:ctrlPr>
              </m:e>
            </m:nary>
            <m:ctrlPr>
              <w:rPr>
                <w:rFonts w:ascii="Cambria Math" w:hAnsi="Cambria Math" w:eastAsia="Malgun Gothic" w:cs="Times New Roman"/>
                <w:sz w:val="24"/>
                <w:szCs w:val="24"/>
              </w:rPr>
            </m:ctrlPr>
          </m:num>
          <m:den>
            <m:nary>
              <m:naryPr>
                <m:chr m:val="∑"/>
                <m:limLoc m:val="subSup"/>
                <m:ctrlPr>
                  <w:rPr>
                    <w:rFonts w:ascii="Cambria Math" w:hAnsi="Cambria Math" w:eastAsia="Malgun Gothic" w:cs="Times New Roman"/>
                    <w:i/>
                    <w:sz w:val="24"/>
                    <w:szCs w:val="24"/>
                  </w:rPr>
                </m:ctrlPr>
              </m:naryPr>
              <m:sub>
                <m:r>
                  <m:rPr/>
                  <w:rPr>
                    <w:rFonts w:ascii="Cambria Math" w:hAnsi="Cambria Math" w:eastAsia="Malgun Gothic" w:cs="Times New Roman"/>
                    <w:sz w:val="24"/>
                    <w:szCs w:val="24"/>
                  </w:rPr>
                  <m:t>n=1</m:t>
                </m:r>
                <m:ctrlPr>
                  <w:rPr>
                    <w:rFonts w:ascii="Cambria Math" w:hAnsi="Cambria Math" w:eastAsia="Malgun Gothic" w:cs="Times New Roman"/>
                    <w:i/>
                    <w:sz w:val="24"/>
                    <w:szCs w:val="24"/>
                  </w:rPr>
                </m:ctrlPr>
              </m:sub>
              <m:sup>
                <m:r>
                  <m:rPr/>
                  <w:rPr>
                    <w:rFonts w:ascii="Cambria Math" w:hAnsi="Cambria Math" w:eastAsia="Malgun Gothic" w:cs="Times New Roman"/>
                    <w:sz w:val="24"/>
                    <w:szCs w:val="24"/>
                  </w:rPr>
                  <m:t>3</m:t>
                </m:r>
                <m:ctrlPr>
                  <w:rPr>
                    <w:rFonts w:ascii="Cambria Math" w:hAnsi="Cambria Math" w:eastAsia="Malgun Gothic" w:cs="Times New Roman"/>
                    <w:i/>
                    <w:sz w:val="24"/>
                    <w:szCs w:val="24"/>
                  </w:rPr>
                </m:ctrlPr>
              </m:sup>
              <m:e>
                <m:sSub>
                  <m:sSubP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T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Malgun Gothic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Cambria Math" w:hAnsi="Cambria Math" w:eastAsia="Malgun Gothic" w:cs="Times New Roman"/>
                        <w:i/>
                        <w:sz w:val="24"/>
                        <w:szCs w:val="24"/>
                      </w:rPr>
                    </m:ctrlPr>
                  </m:sub>
                </m:sSub>
                <m:ctrlPr>
                  <w:rPr>
                    <w:rFonts w:ascii="Cambria Math" w:hAnsi="Cambria Math" w:eastAsia="Malgun Gothic" w:cs="Times New Roman"/>
                    <w:i/>
                    <w:sz w:val="24"/>
                    <w:szCs w:val="24"/>
                  </w:rPr>
                </m:ctrlPr>
              </m:e>
            </m:nary>
            <m:ctrlPr>
              <w:rPr>
                <w:rFonts w:ascii="Cambria Math" w:hAnsi="Cambria Math" w:eastAsia="Malgun Gothic" w:cs="Times New Roman"/>
                <w:sz w:val="24"/>
                <w:szCs w:val="24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, where </w:t>
      </w:r>
      <m:oMath>
        <m:sSub>
          <m:sSubPr>
            <m:ctrlPr>
              <w:rPr>
                <w:rFonts w:ascii="Cambria Math" w:hAnsi="Cambria Math" w:eastAsia="Malgun Gothic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Malgun Gothic" w:cs="Times New Roman"/>
                <w:sz w:val="24"/>
                <w:szCs w:val="24"/>
              </w:rPr>
              <m:t>B</m:t>
            </m:r>
            <m:ctrlPr>
              <w:rPr>
                <w:rFonts w:ascii="Cambria Math" w:hAnsi="Cambria Math" w:eastAsia="Malgun Gothic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Malgun Gothic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eastAsia="Malgun Gothic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the normalized coefficient and </w:t>
      </w:r>
      <m:oMath>
        <m:sSub>
          <m:sSubPr>
            <m:ctrlPr>
              <w:rPr>
                <w:rFonts w:ascii="Cambria Math" w:hAnsi="Cambria Math" w:eastAsia="Malgun Gothic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Malgun Gothic" w:cs="Times New Roman"/>
                <w:sz w:val="24"/>
                <w:szCs w:val="24"/>
              </w:rPr>
              <m:t>T</m:t>
            </m:r>
            <m:ctrlPr>
              <w:rPr>
                <w:rFonts w:ascii="Cambria Math" w:hAnsi="Cambria Math" w:eastAsia="Malgun Gothic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Malgun Gothic" w:cs="Times New Roman"/>
                <w:sz w:val="24"/>
                <w:szCs w:val="24"/>
              </w:rPr>
              <m:t>n</m:t>
            </m:r>
            <m:ctrlPr>
              <w:rPr>
                <w:rFonts w:ascii="Cambria Math" w:hAnsi="Cambria Math" w:eastAsia="Malgun Gothic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is the time constant, respectively.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jc w:val="both"/>
        <w:rPr>
          <w:rFonts w:hint="eastAsia"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PeLEDs characterization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PeLED measurements were performed in a nitrogen-filled glovebox using a custom motorized goniometer system including Keithley 2400 source meter (Keithley Instruments), FDS-100-CAL silicon photodiode (Thorlabs), Agilent 4140B picoammeter (Agilent Technologies), and UVN-SR spectrophotometer (StellarNet Inc.).</w:t>
      </w: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19525" cy="2733675"/>
            <wp:effectExtent l="0" t="0" r="9525" b="0"/>
            <wp:docPr id="482133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3373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2013"/>
                    <a:stretch>
                      <a:fillRect/>
                    </a:stretch>
                  </pic:blipFill>
                  <pic:spPr>
                    <a:xfrm>
                      <a:off x="0" y="0"/>
                      <a:ext cx="3825764" cy="27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Figs. S1. (a-d) SEM images of perovskite films before and after post-treatment. </w:t>
      </w:r>
    </w:p>
    <w:p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276" w:lineRule="auto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spacing w:line="276" w:lineRule="auto"/>
        <w:jc w:val="both"/>
        <w:rPr>
          <w:rFonts w:hint="eastAsia" w:ascii="Times New Roman" w:hAnsi="Times New Roman" w:cs="Times New Roman"/>
          <w:sz w:val="24"/>
          <w:szCs w:val="24"/>
        </w:rPr>
      </w:pPr>
    </w:p>
    <w:p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S1. Transient and steady-state optical properties of control and post-treated perovskite films with PAI, BAI, and DAI, respectively.</w:t>
      </w:r>
    </w:p>
    <w:p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36920" cy="1914525"/>
            <wp:effectExtent l="0" t="0" r="0" b="9525"/>
            <wp:docPr id="1014987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87534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r="5651"/>
                    <a:stretch>
                      <a:fillRect/>
                    </a:stretch>
                  </pic:blipFill>
                  <pic:spPr>
                    <a:xfrm>
                      <a:off x="0" y="0"/>
                      <a:ext cx="5844888" cy="19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>
      <w:footerReference r:id="rId6" w:type="first"/>
      <w:footerReference r:id="rId5" w:type="default"/>
      <w:pgSz w:w="12240" w:h="15840"/>
      <w:pgMar w:top="1440" w:right="1440" w:bottom="1440" w:left="1440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MyriadPro-Regular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75101635"/>
      <w:docPartObj>
        <w:docPartGallery w:val="AutoText"/>
      </w:docPartObj>
    </w:sdtPr>
    <w:sdtContent>
      <w:p>
        <w:pPr>
          <w:pStyle w:val="3"/>
          <w:jc w:val="center"/>
        </w:pP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66801907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2NDU2MzA3NzUxt7BQ0lEKTi0uzszPAykwNawFAOaRzM0tAAAA"/>
  </w:docVars>
  <w:rsids>
    <w:rsidRoot w:val="00F5407B"/>
    <w:rsid w:val="00002902"/>
    <w:rsid w:val="00003C8E"/>
    <w:rsid w:val="000159DA"/>
    <w:rsid w:val="00041C41"/>
    <w:rsid w:val="000420FE"/>
    <w:rsid w:val="00053911"/>
    <w:rsid w:val="00061213"/>
    <w:rsid w:val="00091017"/>
    <w:rsid w:val="0009479A"/>
    <w:rsid w:val="000A24D1"/>
    <w:rsid w:val="000A33BC"/>
    <w:rsid w:val="000A7715"/>
    <w:rsid w:val="000A77E1"/>
    <w:rsid w:val="000B50AD"/>
    <w:rsid w:val="000D3A77"/>
    <w:rsid w:val="000D3D0F"/>
    <w:rsid w:val="000E5436"/>
    <w:rsid w:val="0010575E"/>
    <w:rsid w:val="00111CD4"/>
    <w:rsid w:val="00126DA3"/>
    <w:rsid w:val="001602F5"/>
    <w:rsid w:val="00160B68"/>
    <w:rsid w:val="0016469E"/>
    <w:rsid w:val="00171E00"/>
    <w:rsid w:val="001757BD"/>
    <w:rsid w:val="00175AC0"/>
    <w:rsid w:val="00175DEA"/>
    <w:rsid w:val="00195D81"/>
    <w:rsid w:val="001A6901"/>
    <w:rsid w:val="001B4096"/>
    <w:rsid w:val="001C7538"/>
    <w:rsid w:val="001D5DFB"/>
    <w:rsid w:val="001D7815"/>
    <w:rsid w:val="001E6796"/>
    <w:rsid w:val="00200597"/>
    <w:rsid w:val="002015DA"/>
    <w:rsid w:val="00210D2C"/>
    <w:rsid w:val="00220653"/>
    <w:rsid w:val="00221D05"/>
    <w:rsid w:val="00222F88"/>
    <w:rsid w:val="0022641B"/>
    <w:rsid w:val="00254552"/>
    <w:rsid w:val="00262965"/>
    <w:rsid w:val="00266630"/>
    <w:rsid w:val="002673F0"/>
    <w:rsid w:val="0027427F"/>
    <w:rsid w:val="002862FD"/>
    <w:rsid w:val="0029061F"/>
    <w:rsid w:val="002A3798"/>
    <w:rsid w:val="002A6807"/>
    <w:rsid w:val="002D387D"/>
    <w:rsid w:val="002E4B7F"/>
    <w:rsid w:val="002F6820"/>
    <w:rsid w:val="00303CD1"/>
    <w:rsid w:val="003206EE"/>
    <w:rsid w:val="00322831"/>
    <w:rsid w:val="003353FB"/>
    <w:rsid w:val="0034215B"/>
    <w:rsid w:val="00352289"/>
    <w:rsid w:val="003641C7"/>
    <w:rsid w:val="003747D9"/>
    <w:rsid w:val="003831AA"/>
    <w:rsid w:val="00394919"/>
    <w:rsid w:val="003A255E"/>
    <w:rsid w:val="003B20B8"/>
    <w:rsid w:val="003B30CC"/>
    <w:rsid w:val="003C4C42"/>
    <w:rsid w:val="003C6343"/>
    <w:rsid w:val="003C7996"/>
    <w:rsid w:val="003D0106"/>
    <w:rsid w:val="003D1F75"/>
    <w:rsid w:val="003E3878"/>
    <w:rsid w:val="003F6CA4"/>
    <w:rsid w:val="004010B1"/>
    <w:rsid w:val="00405443"/>
    <w:rsid w:val="00410BF2"/>
    <w:rsid w:val="00422528"/>
    <w:rsid w:val="004228A6"/>
    <w:rsid w:val="0045661D"/>
    <w:rsid w:val="00461771"/>
    <w:rsid w:val="00462CC1"/>
    <w:rsid w:val="00464699"/>
    <w:rsid w:val="00464FD5"/>
    <w:rsid w:val="0047483B"/>
    <w:rsid w:val="004A445E"/>
    <w:rsid w:val="004B4723"/>
    <w:rsid w:val="004B4BF9"/>
    <w:rsid w:val="004C76F1"/>
    <w:rsid w:val="004D3D0C"/>
    <w:rsid w:val="004E5ED6"/>
    <w:rsid w:val="004F02E8"/>
    <w:rsid w:val="004F7211"/>
    <w:rsid w:val="00502C63"/>
    <w:rsid w:val="00530C9C"/>
    <w:rsid w:val="00550978"/>
    <w:rsid w:val="005608FB"/>
    <w:rsid w:val="00573EFE"/>
    <w:rsid w:val="00573F1C"/>
    <w:rsid w:val="005A59D3"/>
    <w:rsid w:val="005C103E"/>
    <w:rsid w:val="005D75C1"/>
    <w:rsid w:val="005E3A79"/>
    <w:rsid w:val="00603113"/>
    <w:rsid w:val="006032CE"/>
    <w:rsid w:val="00614ACF"/>
    <w:rsid w:val="0062731D"/>
    <w:rsid w:val="00630B5D"/>
    <w:rsid w:val="00633091"/>
    <w:rsid w:val="00645618"/>
    <w:rsid w:val="006518EB"/>
    <w:rsid w:val="006624EB"/>
    <w:rsid w:val="00665DE5"/>
    <w:rsid w:val="0066622A"/>
    <w:rsid w:val="006711DD"/>
    <w:rsid w:val="00675E5A"/>
    <w:rsid w:val="0068011B"/>
    <w:rsid w:val="00686C01"/>
    <w:rsid w:val="00693FF9"/>
    <w:rsid w:val="006961DC"/>
    <w:rsid w:val="006A775D"/>
    <w:rsid w:val="006C0CDE"/>
    <w:rsid w:val="006C39E9"/>
    <w:rsid w:val="006E361E"/>
    <w:rsid w:val="006E74BB"/>
    <w:rsid w:val="006F4787"/>
    <w:rsid w:val="00704634"/>
    <w:rsid w:val="007138D1"/>
    <w:rsid w:val="00713ABB"/>
    <w:rsid w:val="0072539A"/>
    <w:rsid w:val="00734C9E"/>
    <w:rsid w:val="007451A2"/>
    <w:rsid w:val="0075628B"/>
    <w:rsid w:val="007807D2"/>
    <w:rsid w:val="00794F1A"/>
    <w:rsid w:val="00795FE4"/>
    <w:rsid w:val="007A0D2C"/>
    <w:rsid w:val="007A1F84"/>
    <w:rsid w:val="007A791B"/>
    <w:rsid w:val="007B3C98"/>
    <w:rsid w:val="007C07BC"/>
    <w:rsid w:val="007D6BFC"/>
    <w:rsid w:val="007D722B"/>
    <w:rsid w:val="007E53B5"/>
    <w:rsid w:val="007F133F"/>
    <w:rsid w:val="007F3865"/>
    <w:rsid w:val="008055B2"/>
    <w:rsid w:val="00830789"/>
    <w:rsid w:val="00840CE3"/>
    <w:rsid w:val="00855401"/>
    <w:rsid w:val="008913B5"/>
    <w:rsid w:val="008B47B8"/>
    <w:rsid w:val="008C12D0"/>
    <w:rsid w:val="0090392D"/>
    <w:rsid w:val="0091284C"/>
    <w:rsid w:val="0092406F"/>
    <w:rsid w:val="009268E3"/>
    <w:rsid w:val="00927D53"/>
    <w:rsid w:val="00944FA5"/>
    <w:rsid w:val="00956BB7"/>
    <w:rsid w:val="00961B59"/>
    <w:rsid w:val="00962D44"/>
    <w:rsid w:val="00990136"/>
    <w:rsid w:val="009A39C7"/>
    <w:rsid w:val="009C073B"/>
    <w:rsid w:val="009C1803"/>
    <w:rsid w:val="009C200A"/>
    <w:rsid w:val="009C56B1"/>
    <w:rsid w:val="009C7B11"/>
    <w:rsid w:val="009D02AE"/>
    <w:rsid w:val="009D5D4E"/>
    <w:rsid w:val="009F3C29"/>
    <w:rsid w:val="00A5416A"/>
    <w:rsid w:val="00A55E0E"/>
    <w:rsid w:val="00A60502"/>
    <w:rsid w:val="00A63C9B"/>
    <w:rsid w:val="00A72CDB"/>
    <w:rsid w:val="00A85E7C"/>
    <w:rsid w:val="00A87AB6"/>
    <w:rsid w:val="00A92D00"/>
    <w:rsid w:val="00AA0F3B"/>
    <w:rsid w:val="00AA1818"/>
    <w:rsid w:val="00AA33CF"/>
    <w:rsid w:val="00AA6DA8"/>
    <w:rsid w:val="00AC0A89"/>
    <w:rsid w:val="00AD6793"/>
    <w:rsid w:val="00AF5A68"/>
    <w:rsid w:val="00B00007"/>
    <w:rsid w:val="00B031FE"/>
    <w:rsid w:val="00B140B8"/>
    <w:rsid w:val="00B25743"/>
    <w:rsid w:val="00B371C5"/>
    <w:rsid w:val="00B404E3"/>
    <w:rsid w:val="00B449F6"/>
    <w:rsid w:val="00B51136"/>
    <w:rsid w:val="00B534B6"/>
    <w:rsid w:val="00B53955"/>
    <w:rsid w:val="00B627D9"/>
    <w:rsid w:val="00B643FD"/>
    <w:rsid w:val="00B64B30"/>
    <w:rsid w:val="00B76A91"/>
    <w:rsid w:val="00B97FE8"/>
    <w:rsid w:val="00BA4972"/>
    <w:rsid w:val="00BB306C"/>
    <w:rsid w:val="00BC4C54"/>
    <w:rsid w:val="00BE4B45"/>
    <w:rsid w:val="00BF5254"/>
    <w:rsid w:val="00C20152"/>
    <w:rsid w:val="00C27180"/>
    <w:rsid w:val="00C37EF8"/>
    <w:rsid w:val="00C41F3C"/>
    <w:rsid w:val="00C42293"/>
    <w:rsid w:val="00C42ED3"/>
    <w:rsid w:val="00C53436"/>
    <w:rsid w:val="00C5606D"/>
    <w:rsid w:val="00C56724"/>
    <w:rsid w:val="00C66547"/>
    <w:rsid w:val="00C70C73"/>
    <w:rsid w:val="00C73606"/>
    <w:rsid w:val="00C73784"/>
    <w:rsid w:val="00C77E6E"/>
    <w:rsid w:val="00C8726E"/>
    <w:rsid w:val="00C90C87"/>
    <w:rsid w:val="00C95B07"/>
    <w:rsid w:val="00C961E0"/>
    <w:rsid w:val="00CA5855"/>
    <w:rsid w:val="00CA603E"/>
    <w:rsid w:val="00CB666C"/>
    <w:rsid w:val="00CC341C"/>
    <w:rsid w:val="00CC745E"/>
    <w:rsid w:val="00CD405D"/>
    <w:rsid w:val="00CE248B"/>
    <w:rsid w:val="00CE4115"/>
    <w:rsid w:val="00CF6FAB"/>
    <w:rsid w:val="00D02585"/>
    <w:rsid w:val="00D02B95"/>
    <w:rsid w:val="00D03B8A"/>
    <w:rsid w:val="00D157CF"/>
    <w:rsid w:val="00D258ED"/>
    <w:rsid w:val="00D25A33"/>
    <w:rsid w:val="00D403AC"/>
    <w:rsid w:val="00D5541F"/>
    <w:rsid w:val="00D673C8"/>
    <w:rsid w:val="00D82F1D"/>
    <w:rsid w:val="00D87588"/>
    <w:rsid w:val="00D97D2F"/>
    <w:rsid w:val="00DA2C42"/>
    <w:rsid w:val="00DA4067"/>
    <w:rsid w:val="00DA406E"/>
    <w:rsid w:val="00DA5FF0"/>
    <w:rsid w:val="00DB1F53"/>
    <w:rsid w:val="00DC64F4"/>
    <w:rsid w:val="00DD6889"/>
    <w:rsid w:val="00DD6B66"/>
    <w:rsid w:val="00DF4B54"/>
    <w:rsid w:val="00E03E39"/>
    <w:rsid w:val="00E12472"/>
    <w:rsid w:val="00E221E2"/>
    <w:rsid w:val="00E22FB3"/>
    <w:rsid w:val="00E407F8"/>
    <w:rsid w:val="00E55170"/>
    <w:rsid w:val="00E6048D"/>
    <w:rsid w:val="00E760E3"/>
    <w:rsid w:val="00E834D1"/>
    <w:rsid w:val="00E87170"/>
    <w:rsid w:val="00EB7BA0"/>
    <w:rsid w:val="00EC25DB"/>
    <w:rsid w:val="00EC43EC"/>
    <w:rsid w:val="00EE45F8"/>
    <w:rsid w:val="00EE729C"/>
    <w:rsid w:val="00F21567"/>
    <w:rsid w:val="00F228CB"/>
    <w:rsid w:val="00F46639"/>
    <w:rsid w:val="00F5407B"/>
    <w:rsid w:val="00F54897"/>
    <w:rsid w:val="00F71FED"/>
    <w:rsid w:val="00F73845"/>
    <w:rsid w:val="00F76021"/>
    <w:rsid w:val="00F80A35"/>
    <w:rsid w:val="00F81658"/>
    <w:rsid w:val="00F950D7"/>
    <w:rsid w:val="00FB112B"/>
    <w:rsid w:val="00FC188B"/>
    <w:rsid w:val="00FE5A24"/>
    <w:rsid w:val="00FF1C10"/>
    <w:rsid w:val="6537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4">
    <w:name w:val="header"/>
    <w:basedOn w:val="1"/>
    <w:link w:val="8"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uiPriority w:val="99"/>
  </w:style>
  <w:style w:type="character" w:customStyle="1" w:styleId="9">
    <w:name w:val="页脚 Char"/>
    <w:basedOn w:val="6"/>
    <w:link w:val="3"/>
    <w:uiPriority w:val="99"/>
  </w:style>
  <w:style w:type="character" w:customStyle="1" w:styleId="10">
    <w:name w:val="批注框文本 Char"/>
    <w:basedOn w:val="6"/>
    <w:link w:val="2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11">
    <w:name w:val="Revision"/>
    <w:hidden/>
    <w:semiHidden/>
    <w:uiPriority w:val="9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12">
    <w:name w:val="Table of contents"/>
    <w:basedOn w:val="1"/>
    <w:uiPriority w:val="0"/>
    <w:pPr>
      <w:spacing w:after="0" w:line="480" w:lineRule="auto"/>
    </w:pPr>
    <w:rPr>
      <w:rFonts w:ascii="Times New Roman" w:hAnsi="Times New Roman" w:eastAsia="宋体" w:cs="Times New Roman"/>
      <w:sz w:val="24"/>
      <w:szCs w:val="24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image" Target="media/image1.em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8C632-18CF-4F00-A4B4-27D2B9A942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773</Words>
  <Characters>4411</Characters>
  <Lines>36</Lines>
  <Paragraphs>10</Paragraphs>
  <TotalTime>64</TotalTime>
  <ScaleCrop>false</ScaleCrop>
  <LinksUpToDate>false</LinksUpToDate>
  <CharactersWithSpaces>5174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2023-10-12T15:23:00Z</dcterms:created>
  <dc:creator>Microsoft account</dc:creator>
  <cp:lastModifiedBy>刘雨</cp:lastModifiedBy>
  <cp:lastPrinted>2022-05-02T08:51:00Z</cp:lastPrinted>
  <dcterms:modified xsi:type="dcterms:W3CDTF">2023-10-30T02:39:53Z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e9c6fb019b636e8a6ca55d4d6df8f65fda03deb4fcfa13cdb961ce80eaf338b6</vt:lpwstr>
  </property>
  <property fmtid="{D5CDD505-2E9C-101B-9397-08002B2CF9AE}" pid="3" name="KSOProductBuildVer">
    <vt:lpwstr>2052-12.1.0.15374</vt:lpwstr>
  </property>
  <property fmtid="{D5CDD505-2E9C-101B-9397-08002B2CF9AE}" pid="4" name="ICV">
    <vt:lpwstr>A2694D0C8DD641639A267512763ADCC9_13</vt:lpwstr>
  </property>
</Properties>
</file>